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242512">
        <w:rPr>
          <w:rFonts w:ascii="Arial" w:eastAsia="Arial Unicode MS" w:hAnsi="Arial" w:cs="Arial"/>
          <w:b/>
          <w:bCs/>
          <w:sz w:val="24"/>
        </w:rPr>
        <w:t>8</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sidR="0053753C">
        <w:rPr>
          <w:rFonts w:ascii="Arial" w:eastAsia="Arial Unicode MS" w:hAnsi="Arial" w:cs="Arial"/>
          <w:b/>
          <w:bCs/>
          <w:i/>
          <w:sz w:val="28"/>
        </w:rPr>
        <w:t>1</w:t>
      </w:r>
      <w:r w:rsidRPr="00211565">
        <w:rPr>
          <w:rFonts w:ascii="Arial" w:eastAsia="Arial Unicode MS" w:hAnsi="Arial" w:cs="Arial"/>
          <w:b/>
          <w:bCs/>
          <w:i/>
          <w:sz w:val="28"/>
        </w:rPr>
        <w:t>0</w:t>
      </w:r>
      <w:r w:rsidR="006F250C">
        <w:rPr>
          <w:rFonts w:ascii="Arial" w:eastAsia="Arial Unicode MS" w:hAnsi="Arial" w:cs="Arial"/>
          <w:b/>
          <w:bCs/>
          <w:i/>
          <w:sz w:val="28"/>
        </w:rPr>
        <w:t>8763</w:t>
      </w:r>
    </w:p>
    <w:p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EA4E0A">
        <w:rPr>
          <w:rFonts w:ascii="Arial" w:eastAsia="Arial Unicode MS" w:hAnsi="Arial" w:cs="Arial"/>
          <w:b/>
          <w:bCs/>
          <w:sz w:val="24"/>
        </w:rPr>
        <w:t>November 15</w:t>
      </w:r>
      <w:r w:rsidR="00AC17AF" w:rsidRPr="00AC17AF">
        <w:rPr>
          <w:rFonts w:ascii="Arial" w:eastAsia="Arial Unicode MS" w:hAnsi="Arial" w:cs="Arial"/>
          <w:b/>
          <w:bCs/>
          <w:sz w:val="24"/>
        </w:rPr>
        <w:t xml:space="preserve"> – 1</w:t>
      </w:r>
      <w:r w:rsidR="00EA4E0A">
        <w:rPr>
          <w:rFonts w:ascii="Arial" w:eastAsia="Arial Unicode MS" w:hAnsi="Arial" w:cs="Arial"/>
          <w:b/>
          <w:bCs/>
          <w:sz w:val="24"/>
        </w:rPr>
        <w:t>9</w:t>
      </w:r>
      <w:bookmarkStart w:id="0" w:name="_GoBack"/>
      <w:bookmarkEnd w:id="0"/>
      <w:r w:rsidRPr="00880B08">
        <w:rPr>
          <w:rFonts w:ascii="Arial" w:eastAsia="Arial Unicode MS" w:hAnsi="Arial" w:cs="Arial"/>
          <w:b/>
          <w:bCs/>
          <w:sz w:val="24"/>
        </w:rPr>
        <w:t>, 2021</w:t>
      </w:r>
      <w:r w:rsidR="0021576A" w:rsidRPr="00927C1B">
        <w:rPr>
          <w:rFonts w:ascii="Arial" w:eastAsia="Arial Unicode MS" w:hAnsi="Arial" w:cs="Arial"/>
          <w:b/>
          <w:bCs/>
        </w:rPr>
        <w:tab/>
      </w:r>
    </w:p>
    <w:p w:rsidR="00A24F28" w:rsidRPr="00880B08" w:rsidRDefault="00A24F28" w:rsidP="00A24F28">
      <w:pPr>
        <w:rPr>
          <w:rFonts w:ascii="Arial" w:hAnsi="Arial" w:cs="Arial"/>
        </w:rPr>
      </w:pPr>
    </w:p>
    <w:p w:rsidR="00A24F28" w:rsidRPr="00487D30" w:rsidRDefault="00A24F28" w:rsidP="00A24F28">
      <w:pPr>
        <w:ind w:left="2127" w:hanging="2127"/>
        <w:rPr>
          <w:rFonts w:ascii="Arial" w:hAnsi="Arial" w:cs="Arial"/>
          <w:b/>
        </w:rPr>
      </w:pPr>
      <w:r w:rsidRPr="00487D30">
        <w:rPr>
          <w:rFonts w:ascii="Arial" w:hAnsi="Arial" w:cs="Arial"/>
          <w:b/>
        </w:rPr>
        <w:t>Source:</w:t>
      </w:r>
      <w:r w:rsidRPr="00487D30">
        <w:rPr>
          <w:rFonts w:ascii="Arial" w:hAnsi="Arial" w:cs="Arial"/>
          <w:b/>
        </w:rPr>
        <w:tab/>
      </w:r>
      <w:r w:rsidR="00E636FF" w:rsidRPr="00487D30">
        <w:rPr>
          <w:rFonts w:ascii="Arial" w:hAnsi="Arial" w:cs="Arial"/>
          <w:b/>
        </w:rPr>
        <w:t xml:space="preserve">Huawei, </w:t>
      </w:r>
      <w:r w:rsidR="008F7D6D" w:rsidRPr="00487D30">
        <w:rPr>
          <w:rFonts w:ascii="Arial" w:hAnsi="Arial" w:cs="Arial"/>
          <w:b/>
        </w:rPr>
        <w:t>HiSilicon</w:t>
      </w:r>
    </w:p>
    <w:p w:rsidR="0022711B" w:rsidRPr="00487D30" w:rsidRDefault="00A24F28" w:rsidP="00A24F28">
      <w:pPr>
        <w:ind w:left="2127" w:hanging="2127"/>
        <w:rPr>
          <w:rFonts w:ascii="Arial" w:hAnsi="Arial" w:cs="Arial"/>
          <w:b/>
        </w:rPr>
      </w:pPr>
      <w:r w:rsidRPr="00487D30">
        <w:rPr>
          <w:rFonts w:ascii="Arial" w:hAnsi="Arial" w:cs="Arial"/>
          <w:b/>
        </w:rPr>
        <w:t>Title:</w:t>
      </w:r>
      <w:r w:rsidRPr="00487D30">
        <w:rPr>
          <w:rFonts w:ascii="Arial" w:hAnsi="Arial" w:cs="Arial"/>
          <w:b/>
        </w:rPr>
        <w:tab/>
      </w:r>
      <w:r w:rsidR="00487D30" w:rsidRPr="00487D30">
        <w:rPr>
          <w:rFonts w:ascii="Arial" w:hAnsi="Arial" w:cs="Arial"/>
          <w:b/>
        </w:rPr>
        <w:t>Discussion on rejected NSSAI for the maximum number of UE reached when TAIs belonging to different PLMNs</w:t>
      </w:r>
    </w:p>
    <w:p w:rsidR="00A24F28" w:rsidRPr="00487D30" w:rsidRDefault="002A3C41" w:rsidP="00A24F28">
      <w:pPr>
        <w:ind w:left="2127" w:hanging="2127"/>
        <w:rPr>
          <w:rFonts w:ascii="Arial" w:hAnsi="Arial" w:cs="Arial"/>
          <w:b/>
        </w:rPr>
      </w:pPr>
      <w:r w:rsidRPr="00487D30">
        <w:rPr>
          <w:rFonts w:ascii="Arial" w:hAnsi="Arial" w:cs="Arial"/>
          <w:b/>
        </w:rPr>
        <w:t>Document for:</w:t>
      </w:r>
      <w:r w:rsidRPr="00487D30">
        <w:rPr>
          <w:rFonts w:ascii="Arial" w:hAnsi="Arial" w:cs="Arial"/>
          <w:b/>
        </w:rPr>
        <w:tab/>
      </w:r>
      <w:r w:rsidR="00487D30" w:rsidRPr="00487D30">
        <w:rPr>
          <w:rFonts w:ascii="Arial" w:hAnsi="Arial" w:cs="Arial"/>
          <w:b/>
          <w:color w:val="222222"/>
          <w:shd w:val="clear" w:color="auto" w:fill="FFFFFF"/>
        </w:rPr>
        <w:t>Approval</w:t>
      </w:r>
    </w:p>
    <w:p w:rsidR="00A24F28" w:rsidRPr="00487D30" w:rsidRDefault="00E2205A" w:rsidP="00A24F28">
      <w:pPr>
        <w:ind w:left="2127" w:hanging="2127"/>
        <w:rPr>
          <w:rFonts w:ascii="Arial" w:hAnsi="Arial" w:cs="Arial"/>
          <w:b/>
        </w:rPr>
      </w:pPr>
      <w:r w:rsidRPr="00487D30">
        <w:rPr>
          <w:rFonts w:ascii="Arial" w:hAnsi="Arial" w:cs="Arial"/>
          <w:b/>
        </w:rPr>
        <w:t>Agenda Item:</w:t>
      </w:r>
      <w:r w:rsidRPr="00487D30">
        <w:rPr>
          <w:rFonts w:ascii="Arial" w:hAnsi="Arial" w:cs="Arial"/>
          <w:b/>
        </w:rPr>
        <w:tab/>
      </w:r>
      <w:r w:rsidR="009B7CD5" w:rsidRPr="00487D30">
        <w:rPr>
          <w:rFonts w:ascii="Arial" w:hAnsi="Arial" w:cs="Arial"/>
          <w:b/>
        </w:rPr>
        <w:t>8.4</w:t>
      </w:r>
    </w:p>
    <w:p w:rsidR="00A24F28" w:rsidRPr="00487D30" w:rsidRDefault="00A24F28" w:rsidP="00A24F28">
      <w:pPr>
        <w:ind w:left="2127" w:hanging="2127"/>
        <w:rPr>
          <w:rFonts w:ascii="Arial" w:hAnsi="Arial" w:cs="Arial"/>
          <w:b/>
        </w:rPr>
      </w:pPr>
      <w:r w:rsidRPr="00487D30">
        <w:rPr>
          <w:rFonts w:ascii="Arial" w:hAnsi="Arial" w:cs="Arial"/>
          <w:b/>
        </w:rPr>
        <w:t>Work Item / Release:</w:t>
      </w:r>
      <w:r w:rsidRPr="00487D30">
        <w:rPr>
          <w:rFonts w:ascii="Arial" w:hAnsi="Arial" w:cs="Arial"/>
          <w:b/>
        </w:rPr>
        <w:tab/>
      </w:r>
      <w:r w:rsidR="009B7CD5" w:rsidRPr="00487D30">
        <w:rPr>
          <w:rFonts w:ascii="Arial" w:hAnsi="Arial" w:cs="Arial"/>
          <w:b/>
        </w:rPr>
        <w:t xml:space="preserve">eNS_ph2/ </w:t>
      </w:r>
      <w:r w:rsidR="00E2205A" w:rsidRPr="00487D30">
        <w:rPr>
          <w:rFonts w:ascii="Arial" w:hAnsi="Arial" w:cs="Arial"/>
          <w:b/>
        </w:rPr>
        <w:t>Rel-</w:t>
      </w:r>
      <w:r w:rsidR="009B7CD5" w:rsidRPr="00487D30">
        <w:rPr>
          <w:rFonts w:ascii="Arial" w:hAnsi="Arial" w:cs="Arial"/>
          <w:b/>
        </w:rPr>
        <w:t>17</w:t>
      </w:r>
    </w:p>
    <w:p w:rsidR="00EF48DB" w:rsidRPr="00927C1B" w:rsidRDefault="00A24F28" w:rsidP="00EC53AC">
      <w:pPr>
        <w:jc w:val="both"/>
        <w:rPr>
          <w:rFonts w:ascii="Arial" w:hAnsi="Arial" w:cs="Arial"/>
          <w:i/>
        </w:rPr>
      </w:pPr>
      <w:r w:rsidRPr="00487D30">
        <w:rPr>
          <w:rFonts w:ascii="Arial" w:hAnsi="Arial" w:cs="Arial"/>
          <w:i/>
        </w:rPr>
        <w:t xml:space="preserve">Abstract: </w:t>
      </w:r>
      <w:r w:rsidR="00C76BBA" w:rsidRPr="00487D30">
        <w:rPr>
          <w:rFonts w:ascii="Arial" w:hAnsi="Arial" w:cs="Arial"/>
          <w:i/>
        </w:rPr>
        <w:t xml:space="preserve">This </w:t>
      </w:r>
      <w:r w:rsidR="0076782A" w:rsidRPr="00487D30">
        <w:rPr>
          <w:rFonts w:ascii="Arial" w:hAnsi="Arial" w:cs="Arial"/>
          <w:i/>
        </w:rPr>
        <w:t>discussion paper aims at</w:t>
      </w:r>
      <w:r w:rsidR="005654A6" w:rsidRPr="00487D30">
        <w:rPr>
          <w:rFonts w:ascii="Arial" w:hAnsi="Arial" w:cs="Arial"/>
          <w:i/>
        </w:rPr>
        <w:t xml:space="preserve"> </w:t>
      </w:r>
      <w:r w:rsidR="001A3B70" w:rsidRPr="00487D30">
        <w:rPr>
          <w:rFonts w:ascii="Arial" w:hAnsi="Arial" w:cs="Arial"/>
          <w:i/>
        </w:rPr>
        <w:t xml:space="preserve">discussing the scenario mentioned by the CT1 LS and proposes </w:t>
      </w:r>
      <w:r w:rsidR="00487D30" w:rsidRPr="00487D30">
        <w:rPr>
          <w:rFonts w:ascii="Arial" w:hAnsi="Arial" w:cs="Arial"/>
          <w:i/>
        </w:rPr>
        <w:t>the way forward.</w:t>
      </w:r>
      <w:r w:rsidR="001A3B70" w:rsidRPr="00487D30">
        <w:rPr>
          <w:rFonts w:ascii="Arial" w:hAnsi="Arial" w:cs="Arial"/>
          <w:i/>
        </w:rPr>
        <w:t xml:space="preserve"> </w:t>
      </w:r>
      <w:r w:rsidR="005654A6" w:rsidRPr="00487D30">
        <w:rPr>
          <w:rFonts w:ascii="Arial" w:hAnsi="Arial" w:cs="Arial"/>
          <w:i/>
        </w:rPr>
        <w:t xml:space="preserve"> </w:t>
      </w:r>
    </w:p>
    <w:p w:rsidR="00A93620" w:rsidRDefault="00B3593E" w:rsidP="00B3593E">
      <w:pPr>
        <w:pStyle w:val="1"/>
      </w:pPr>
      <w:r w:rsidRPr="00927C1B">
        <w:t xml:space="preserve">1. </w:t>
      </w:r>
      <w:r w:rsidR="00B4739E">
        <w:t>Introduction</w:t>
      </w:r>
    </w:p>
    <w:p w:rsidR="00294B58" w:rsidRDefault="004958E0" w:rsidP="00294B58">
      <w:r>
        <w:rPr>
          <w:rFonts w:eastAsiaTheme="minorEastAsia"/>
          <w:lang w:eastAsia="zh-CN"/>
        </w:rPr>
        <w:t>T</w:t>
      </w:r>
      <w:r>
        <w:rPr>
          <w:rFonts w:eastAsiaTheme="minorEastAsia" w:hint="eastAsia"/>
          <w:lang w:eastAsia="zh-CN"/>
        </w:rPr>
        <w:t>h</w:t>
      </w:r>
      <w:r>
        <w:rPr>
          <w:rFonts w:eastAsiaTheme="minorEastAsia"/>
          <w:lang w:eastAsia="zh-CN"/>
        </w:rPr>
        <w:t xml:space="preserve">ere is an LS from CT1 </w:t>
      </w:r>
      <w:r w:rsidRPr="00145438">
        <w:t xml:space="preserve">on </w:t>
      </w:r>
      <w:bookmarkStart w:id="1" w:name="OLE_LINK137"/>
      <w:r w:rsidRPr="00145438">
        <w:t>rejected NSSAI for the maximum number of UE reached when TAIs belonging to different PLMNs</w:t>
      </w:r>
      <w:bookmarkEnd w:id="1"/>
      <w:r>
        <w:t>:</w:t>
      </w:r>
    </w:p>
    <w:p w:rsidR="004958E0" w:rsidRPr="004958E0" w:rsidRDefault="004958E0" w:rsidP="004958E0">
      <w:pPr>
        <w:ind w:leftChars="100" w:left="200"/>
        <w:rPr>
          <w:i/>
          <w:lang w:eastAsia="zh-CN"/>
        </w:rPr>
      </w:pPr>
      <w:r w:rsidRPr="004958E0">
        <w:rPr>
          <w:i/>
          <w:lang w:eastAsia="zh-CN"/>
        </w:rPr>
        <w:t>CT1 is discussing the UE handling on the received rejected NSSAI for the maximum number of UEs reached when the registration area contains TAIs belonging to different PLMNs. There are two options observed:</w:t>
      </w:r>
    </w:p>
    <w:p w:rsidR="004958E0" w:rsidRPr="004958E0" w:rsidRDefault="004958E0" w:rsidP="004958E0">
      <w:pPr>
        <w:ind w:leftChars="100" w:left="200"/>
        <w:rPr>
          <w:i/>
        </w:rPr>
      </w:pPr>
      <w:r w:rsidRPr="004958E0">
        <w:rPr>
          <w:i/>
          <w:lang w:eastAsia="zh-CN"/>
        </w:rPr>
        <w:t xml:space="preserve">Option 1: the rejected NSSAI for the maximum number of UEs reached is </w:t>
      </w:r>
      <w:r w:rsidRPr="004958E0">
        <w:rPr>
          <w:i/>
        </w:rPr>
        <w:t>applicable to all of these PLMNs in the registration area;</w:t>
      </w:r>
    </w:p>
    <w:p w:rsidR="004958E0" w:rsidRDefault="004958E0" w:rsidP="004958E0">
      <w:pPr>
        <w:ind w:leftChars="100" w:left="200"/>
      </w:pPr>
      <w:r w:rsidRPr="004958E0">
        <w:rPr>
          <w:i/>
        </w:rPr>
        <w:t>Option 2: the</w:t>
      </w:r>
      <w:r w:rsidRPr="004958E0">
        <w:rPr>
          <w:i/>
          <w:lang w:eastAsia="zh-CN"/>
        </w:rPr>
        <w:t xml:space="preserve"> rejected NSSAI for the maximum number of UEs reached is </w:t>
      </w:r>
      <w:r w:rsidRPr="004958E0">
        <w:rPr>
          <w:i/>
        </w:rPr>
        <w:t>applicable to the registered PLMN only.</w:t>
      </w:r>
    </w:p>
    <w:p w:rsidR="004958E0" w:rsidRPr="004958E0" w:rsidRDefault="004958E0" w:rsidP="00294B58">
      <w:pPr>
        <w:rPr>
          <w:rFonts w:eastAsiaTheme="minorEastAsia"/>
          <w:lang w:eastAsia="zh-CN"/>
        </w:rPr>
      </w:pPr>
    </w:p>
    <w:p w:rsidR="0076782A" w:rsidRDefault="00F261CF" w:rsidP="00F261CF">
      <w:pPr>
        <w:pStyle w:val="1"/>
        <w:rPr>
          <w:lang w:eastAsia="zh-CN"/>
        </w:rPr>
      </w:pPr>
      <w:r>
        <w:rPr>
          <w:lang w:eastAsia="zh-CN"/>
        </w:rPr>
        <w:t>2. Discussion</w:t>
      </w:r>
    </w:p>
    <w:p w:rsidR="004958E0" w:rsidRDefault="004958E0" w:rsidP="004958E0">
      <w:pPr>
        <w:rPr>
          <w:lang w:eastAsia="zh-CN"/>
        </w:rPr>
      </w:pPr>
      <w:r>
        <w:rPr>
          <w:lang w:eastAsia="zh-CN"/>
        </w:rPr>
        <w:t>The LS In is talki</w:t>
      </w:r>
      <w:r w:rsidR="00316CC7">
        <w:rPr>
          <w:lang w:eastAsia="zh-CN"/>
        </w:rPr>
        <w:t>ng about the case that PLMN 1 (</w:t>
      </w:r>
      <w:r>
        <w:rPr>
          <w:lang w:eastAsia="zh-CN"/>
        </w:rPr>
        <w:t>with TA 1) and PLMN2 (with TA2) are in the RA provided to the UE. It is assumed the UE has received Allowed NSSAIs when it is in TA1.</w:t>
      </w:r>
    </w:p>
    <w:p w:rsidR="004958E0" w:rsidRDefault="004958E0" w:rsidP="004958E0">
      <w:pPr>
        <w:rPr>
          <w:lang w:eastAsia="zh-CN"/>
        </w:rPr>
      </w:pPr>
      <w:r>
        <w:rPr>
          <w:lang w:eastAsia="zh-CN"/>
        </w:rPr>
        <w:t>If registration accept includes RA</w:t>
      </w:r>
      <w:r w:rsidR="00316CC7">
        <w:rPr>
          <w:lang w:eastAsia="zh-CN"/>
        </w:rPr>
        <w:t xml:space="preserve"> </w:t>
      </w:r>
      <w:r>
        <w:rPr>
          <w:lang w:eastAsia="zh-CN"/>
        </w:rPr>
        <w:t>(with both TA1 and TA2) and Allowed NSSAI, it implies:</w:t>
      </w:r>
    </w:p>
    <w:p w:rsidR="004958E0" w:rsidRDefault="004958E0" w:rsidP="004958E0">
      <w:pPr>
        <w:rPr>
          <w:lang w:eastAsia="zh-CN"/>
        </w:rPr>
      </w:pPr>
      <w:r>
        <w:rPr>
          <w:rFonts w:hint="eastAsia"/>
          <w:lang w:eastAsia="zh-CN"/>
        </w:rPr>
        <w:t>•</w:t>
      </w:r>
      <w:r>
        <w:rPr>
          <w:lang w:eastAsia="zh-CN"/>
        </w:rPr>
        <w:t xml:space="preserve">  </w:t>
      </w:r>
      <w:r w:rsidR="00316CC7">
        <w:rPr>
          <w:lang w:eastAsia="zh-CN"/>
        </w:rPr>
        <w:t>T</w:t>
      </w:r>
      <w:r>
        <w:rPr>
          <w:lang w:eastAsia="zh-CN"/>
        </w:rPr>
        <w:t>he AMF(s) serving TA1(PLMN1) also serves TA2(PLMN2). Otherwise, the UE would have to re-register when moving to TA2.Then TA2 would not be in the RA.</w:t>
      </w:r>
    </w:p>
    <w:p w:rsidR="004958E0" w:rsidRDefault="004958E0" w:rsidP="004958E0">
      <w:pPr>
        <w:rPr>
          <w:lang w:eastAsia="zh-CN"/>
        </w:rPr>
      </w:pPr>
      <w:r>
        <w:rPr>
          <w:rFonts w:hint="eastAsia"/>
          <w:lang w:eastAsia="zh-CN"/>
        </w:rPr>
        <w:t>•</w:t>
      </w:r>
      <w:r>
        <w:rPr>
          <w:lang w:eastAsia="zh-CN"/>
        </w:rPr>
        <w:t xml:space="preserve">  </w:t>
      </w:r>
      <w:r w:rsidR="00316CC7">
        <w:rPr>
          <w:lang w:eastAsia="zh-CN"/>
        </w:rPr>
        <w:t>T</w:t>
      </w:r>
      <w:r>
        <w:rPr>
          <w:lang w:eastAsia="zh-CN"/>
        </w:rPr>
        <w:t xml:space="preserve">he namespace for the (supporting) S-NSSAIs is the same </w:t>
      </w:r>
      <w:r w:rsidR="00316CC7">
        <w:rPr>
          <w:lang w:eastAsia="zh-CN"/>
        </w:rPr>
        <w:t>for PLMN1(TA1) and PLMN2(TA2). O</w:t>
      </w:r>
      <w:r>
        <w:rPr>
          <w:lang w:eastAsia="zh-CN"/>
        </w:rPr>
        <w:t>therwise, the TA2 cannot be included in the RA, (because all TAs within the same RA will support the same S-NSSAIs)</w:t>
      </w:r>
    </w:p>
    <w:p w:rsidR="009B7CD5" w:rsidRDefault="004958E0" w:rsidP="009B7CD5">
      <w:pPr>
        <w:rPr>
          <w:lang w:eastAsia="zh-CN"/>
        </w:rPr>
      </w:pPr>
      <w:r>
        <w:rPr>
          <w:lang w:eastAsia="zh-CN"/>
        </w:rPr>
        <w:t>In this case, the resource of PLMN1 and PLMN2 should be the same. S</w:t>
      </w:r>
      <w:r w:rsidRPr="004958E0">
        <w:rPr>
          <w:lang w:eastAsia="zh-CN"/>
        </w:rPr>
        <w:t>o it does not make sense to have a separate NSAC counter for each PLMN. Especially, they are equivalent PLMNs from</w:t>
      </w:r>
      <w:r>
        <w:rPr>
          <w:lang w:eastAsia="zh-CN"/>
        </w:rPr>
        <w:t xml:space="preserve"> the UE and network perspective</w:t>
      </w:r>
      <w:r w:rsidRPr="004958E0">
        <w:rPr>
          <w:lang w:eastAsia="zh-CN"/>
        </w:rPr>
        <w:t>.</w:t>
      </w:r>
      <w:r w:rsidRPr="004958E0">
        <w:t xml:space="preserve"> </w:t>
      </w:r>
      <w:r>
        <w:rPr>
          <w:lang w:eastAsia="zh-CN"/>
        </w:rPr>
        <w:t>T</w:t>
      </w:r>
      <w:r w:rsidRPr="004958E0">
        <w:rPr>
          <w:lang w:eastAsia="zh-CN"/>
        </w:rPr>
        <w:t>he most sensible configuration in that case is to have one NSAC counter for both PLMNs.</w:t>
      </w:r>
      <w:r w:rsidR="009B7CD5">
        <w:rPr>
          <w:lang w:eastAsia="zh-CN"/>
        </w:rPr>
        <w:t xml:space="preserve"> </w:t>
      </w:r>
    </w:p>
    <w:p w:rsidR="009B7CD5" w:rsidRDefault="009B7CD5" w:rsidP="009B7CD5">
      <w:pPr>
        <w:rPr>
          <w:lang w:eastAsia="zh-CN"/>
        </w:rPr>
      </w:pPr>
      <w:r>
        <w:rPr>
          <w:lang w:eastAsia="zh-CN"/>
        </w:rPr>
        <w:t>If we assume we go with option 2 and avoid the above issues (i.e. not opposite to the current definition of Allowed NSSAI and RA), there would need to be one of two things:</w:t>
      </w:r>
    </w:p>
    <w:p w:rsidR="009B7CD5" w:rsidRDefault="009B7CD5" w:rsidP="009B7CD5">
      <w:pPr>
        <w:pStyle w:val="ac"/>
        <w:numPr>
          <w:ilvl w:val="0"/>
          <w:numId w:val="21"/>
        </w:numPr>
        <w:rPr>
          <w:lang w:eastAsia="zh-CN"/>
        </w:rPr>
      </w:pPr>
      <w:r>
        <w:rPr>
          <w:lang w:eastAsia="zh-CN"/>
        </w:rPr>
        <w:t>AMF has to check for NSAC for each ePLMN that is candidate for having a TA being in the RA</w:t>
      </w:r>
    </w:p>
    <w:p w:rsidR="009B7CD5" w:rsidRDefault="009B7CD5" w:rsidP="009B7CD5">
      <w:pPr>
        <w:pStyle w:val="ac"/>
        <w:numPr>
          <w:ilvl w:val="0"/>
          <w:numId w:val="21"/>
        </w:numPr>
        <w:rPr>
          <w:lang w:eastAsia="zh-CN"/>
        </w:rPr>
      </w:pPr>
      <w:r>
        <w:rPr>
          <w:lang w:eastAsia="zh-CN"/>
        </w:rPr>
        <w:t>AMF has to disallow including TAs of other ePLMNs (at least if one of the slices in the Allowed NSSAI are under NSAC) in the RA.</w:t>
      </w:r>
    </w:p>
    <w:p w:rsidR="009B7CD5" w:rsidRDefault="009B7CD5" w:rsidP="009B7CD5">
      <w:pPr>
        <w:rPr>
          <w:lang w:eastAsia="zh-CN"/>
        </w:rPr>
      </w:pPr>
      <w:r>
        <w:rPr>
          <w:rFonts w:eastAsiaTheme="minorEastAsia"/>
          <w:lang w:eastAsia="zh-CN"/>
        </w:rPr>
        <w:t xml:space="preserve">But neither is supported now. </w:t>
      </w:r>
      <w:r>
        <w:rPr>
          <w:lang w:eastAsia="zh-CN"/>
        </w:rPr>
        <w:t>Option 1 on the other hand has no such problem.</w:t>
      </w:r>
    </w:p>
    <w:p w:rsidR="004958E0" w:rsidRDefault="009B7CD5" w:rsidP="009B7CD5">
      <w:pPr>
        <w:rPr>
          <w:lang w:eastAsia="zh-CN"/>
        </w:rPr>
      </w:pPr>
      <w:r>
        <w:rPr>
          <w:lang w:eastAsia="zh-CN"/>
        </w:rPr>
        <w:lastRenderedPageBreak/>
        <w:t>Note that this is only for the scenario of the RA-shared (resource shared) ePLMNs, there is no need to introduce too much complexity.</w:t>
      </w:r>
    </w:p>
    <w:p w:rsidR="004958E0" w:rsidRPr="004958E0" w:rsidRDefault="004958E0" w:rsidP="004958E0">
      <w:pPr>
        <w:rPr>
          <w:lang w:eastAsia="zh-CN"/>
        </w:rPr>
      </w:pPr>
      <w:r>
        <w:rPr>
          <w:lang w:eastAsia="zh-CN"/>
        </w:rPr>
        <w:t xml:space="preserve">For the ePLMNs that do not share the same </w:t>
      </w:r>
      <w:r w:rsidR="001A3B70">
        <w:rPr>
          <w:lang w:eastAsia="zh-CN"/>
        </w:rPr>
        <w:t xml:space="preserve">RA (or </w:t>
      </w:r>
      <w:r>
        <w:rPr>
          <w:lang w:eastAsia="zh-CN"/>
        </w:rPr>
        <w:t>resource</w:t>
      </w:r>
      <w:r w:rsidR="001A3B70">
        <w:rPr>
          <w:lang w:eastAsia="zh-CN"/>
        </w:rPr>
        <w:t>)</w:t>
      </w:r>
      <w:r>
        <w:rPr>
          <w:lang w:eastAsia="zh-CN"/>
        </w:rPr>
        <w:t xml:space="preserve"> are out of the scope of the LS discussion.</w:t>
      </w:r>
    </w:p>
    <w:p w:rsidR="008F0B57" w:rsidRDefault="00AB1E11" w:rsidP="00636B44">
      <w:pPr>
        <w:pStyle w:val="1"/>
        <w:rPr>
          <w:lang w:eastAsia="zh-CN"/>
        </w:rPr>
      </w:pPr>
      <w:r>
        <w:rPr>
          <w:lang w:eastAsia="zh-CN"/>
        </w:rPr>
        <w:t>3. Conclusion and proposal</w:t>
      </w:r>
      <w:r w:rsidR="00E71C8B">
        <w:rPr>
          <w:lang w:eastAsia="zh-CN"/>
        </w:rPr>
        <w:t>(s)</w:t>
      </w:r>
    </w:p>
    <w:p w:rsidR="00294B58" w:rsidRPr="004958E0" w:rsidRDefault="004958E0" w:rsidP="00294B58">
      <w:pPr>
        <w:rPr>
          <w:rFonts w:eastAsiaTheme="minorEastAsia"/>
          <w:lang w:eastAsia="zh-CN"/>
        </w:rPr>
      </w:pPr>
      <w:r>
        <w:rPr>
          <w:rFonts w:eastAsiaTheme="minorEastAsia" w:hint="eastAsia"/>
          <w:lang w:eastAsia="zh-CN"/>
        </w:rPr>
        <w:t>I</w:t>
      </w:r>
      <w:r>
        <w:rPr>
          <w:rFonts w:eastAsiaTheme="minorEastAsia"/>
          <w:lang w:eastAsia="zh-CN"/>
        </w:rPr>
        <w:t xml:space="preserve">t is proposed to </w:t>
      </w:r>
      <w:r w:rsidR="009B7CD5">
        <w:rPr>
          <w:rFonts w:eastAsiaTheme="minorEastAsia"/>
          <w:lang w:eastAsia="zh-CN"/>
        </w:rPr>
        <w:t xml:space="preserve">Option 1 is </w:t>
      </w:r>
      <w:r w:rsidR="00487D30">
        <w:rPr>
          <w:rFonts w:eastAsiaTheme="minorEastAsia"/>
          <w:lang w:eastAsia="zh-CN"/>
        </w:rPr>
        <w:t>preferred</w:t>
      </w:r>
      <w:r>
        <w:rPr>
          <w:rFonts w:eastAsiaTheme="minorEastAsia"/>
          <w:lang w:eastAsia="zh-CN"/>
        </w:rPr>
        <w:t xml:space="preserve"> based on the above discussion.</w:t>
      </w:r>
    </w:p>
    <w:p w:rsidR="00294B58" w:rsidRPr="00294B58" w:rsidRDefault="00294B58" w:rsidP="00294B58">
      <w:pPr>
        <w:rPr>
          <w:lang w:eastAsia="zh-CN"/>
        </w:rPr>
      </w:pP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19B0" w:rsidRDefault="008919B0">
      <w:r>
        <w:separator/>
      </w:r>
    </w:p>
    <w:p w:rsidR="008919B0" w:rsidRDefault="008919B0"/>
  </w:endnote>
  <w:endnote w:type="continuationSeparator" w:id="0">
    <w:p w:rsidR="008919B0" w:rsidRDefault="008919B0">
      <w:r>
        <w:continuationSeparator/>
      </w:r>
    </w:p>
    <w:p w:rsidR="008919B0" w:rsidRDefault="00891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19B0" w:rsidRDefault="008919B0">
      <w:r>
        <w:separator/>
      </w:r>
    </w:p>
    <w:p w:rsidR="008919B0" w:rsidRDefault="008919B0"/>
  </w:footnote>
  <w:footnote w:type="continuationSeparator" w:id="0">
    <w:p w:rsidR="008919B0" w:rsidRDefault="008919B0">
      <w:r>
        <w:continuationSeparator/>
      </w:r>
    </w:p>
    <w:p w:rsidR="008919B0" w:rsidRDefault="008919B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Default="00013A5E"/>
  <w:p w:rsidR="00013A5E" w:rsidRDefault="00013A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8919B0">
      <w:rPr>
        <w:rFonts w:ascii="Arial" w:hAnsi="Arial" w:cs="Arial"/>
        <w:b/>
        <w:bCs/>
        <w:noProof/>
        <w:sz w:val="18"/>
        <w:lang w:val="fr-FR"/>
      </w:rPr>
      <w:t>1</w:t>
    </w:r>
    <w:r>
      <w:rPr>
        <w:rFonts w:ascii="Arial" w:hAnsi="Arial" w:cs="Arial"/>
        <w:b/>
        <w:bCs/>
        <w:sz w:val="18"/>
      </w:rPr>
      <w:fldChar w:fldCharType="end"/>
    </w:r>
  </w:p>
  <w:p w:rsidR="00013A5E" w:rsidRPr="00AC17AF" w:rsidRDefault="00013A5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AA6601"/>
    <w:multiLevelType w:val="hybridMultilevel"/>
    <w:tmpl w:val="BDECA2BE"/>
    <w:lvl w:ilvl="0" w:tplc="F0C68B70">
      <w:start w:val="3"/>
      <w:numFmt w:val="bullet"/>
      <w:lvlText w:val="•"/>
      <w:lvlJc w:val="left"/>
      <w:pPr>
        <w:ind w:left="360" w:hanging="36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19"/>
  </w:num>
  <w:num w:numId="7">
    <w:abstractNumId w:val="6"/>
  </w:num>
  <w:num w:numId="8">
    <w:abstractNumId w:val="10"/>
  </w:num>
  <w:num w:numId="9">
    <w:abstractNumId w:val="17"/>
  </w:num>
  <w:num w:numId="10">
    <w:abstractNumId w:val="20"/>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 w:numId="21">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A7F"/>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B70"/>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6CC7"/>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5AD0"/>
    <w:rsid w:val="00466150"/>
    <w:rsid w:val="00470732"/>
    <w:rsid w:val="00470CA4"/>
    <w:rsid w:val="00472142"/>
    <w:rsid w:val="004745FD"/>
    <w:rsid w:val="004774B4"/>
    <w:rsid w:val="00481CD8"/>
    <w:rsid w:val="004821D9"/>
    <w:rsid w:val="0048268B"/>
    <w:rsid w:val="00482DD7"/>
    <w:rsid w:val="00482F42"/>
    <w:rsid w:val="00483322"/>
    <w:rsid w:val="00483E3C"/>
    <w:rsid w:val="00485470"/>
    <w:rsid w:val="004862C2"/>
    <w:rsid w:val="0048675E"/>
    <w:rsid w:val="00487D30"/>
    <w:rsid w:val="00491877"/>
    <w:rsid w:val="00494686"/>
    <w:rsid w:val="0049476B"/>
    <w:rsid w:val="004958E0"/>
    <w:rsid w:val="004A0FD5"/>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50C"/>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19B0"/>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B7CD5"/>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09A"/>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E0A"/>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498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C6C413-6037-4605-8F6C-FC937CC96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412</Words>
  <Characters>2350</Characters>
  <Application>Microsoft Office Word</Application>
  <DocSecurity>0</DocSecurity>
  <Lines>19</Lines>
  <Paragraphs>5</Paragraphs>
  <ScaleCrop>false</ScaleCrop>
  <HeadingPairs>
    <vt:vector size="6" baseType="variant">
      <vt:variant>
        <vt:lpstr>Title</vt:lpstr>
      </vt:variant>
      <vt:variant>
        <vt:i4>1</vt:i4>
      </vt:variant>
      <vt:variant>
        <vt:lpstr>标题</vt:lpstr>
      </vt:variant>
      <vt:variant>
        <vt:i4>3</vt:i4>
      </vt:variant>
      <vt:variant>
        <vt:lpstr>제목</vt:lpstr>
      </vt:variant>
      <vt:variant>
        <vt:i4>1</vt:i4>
      </vt:variant>
    </vt:vector>
  </HeadingPairs>
  <TitlesOfParts>
    <vt:vector size="5" baseType="lpstr">
      <vt:lpstr>SA2 eV2X</vt:lpstr>
      <vt:lpstr>1. Introduction</vt:lpstr>
      <vt:lpstr>2. Discussion</vt:lpstr>
      <vt:lpstr>3. Conclusion and proposal(s)</vt:lpstr>
      <vt:lpstr/>
    </vt:vector>
  </TitlesOfParts>
  <Company>Huawei</Company>
  <LinksUpToDate>false</LinksUpToDate>
  <CharactersWithSpaces>2757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2021-11-08T11:52:00Z</dcterms:created>
  <dcterms:modified xsi:type="dcterms:W3CDTF">2021-11-08T12:50:00Z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(3)/EA+xZh1BM7/wQMveJe/gFaWH0HSw3L3A4tzTFWxsugzwMUGJi6pQhvHQ3gkT1fvhq08xjyV
hKTtM+w8hXBl1uuARjK73u2Rgb1L+i6bCS6hhLksDg8WL3GBcQ2EjjlNaK73PyiVkBKVqDXX
QUyy6QFvzdeVGymjFlQf3gk7oIlGademsvrR2RqNZIYl/L8te6OyeUCg7veK+nasjHvHpnOG
T4zjpEhbaxbbkmv0Tt</vt:lpwstr>
  </property>
  <property fmtid="{D5CDD505-2E9C-101B-9397-08002B2CF9AE}" pid="13" name="_2015_ms_pID_7253431">
    <vt:lpwstr>i+vfZk3yUcRrqB5UeJk3hEORf/fdlVnNVcFTxz1tg0X2li8WANUEt1
0KwlTveBSNQPHy2s01DuUtT1ixr23A253CoFHt978WYFuG3davu2VHkkvS89jwKvZQyDgSXe
x0klJebqyf2xelFfVC4Ku9voDIFvKu8B1a6ttSLrrBM5CfQh365BYeang+a8hNWP4TpQ2M83
MeX2shRXHSJqAuGttBlEEffYv4CjnCZsG7x0</vt:lpwstr>
  </property>
  <property fmtid="{D5CDD505-2E9C-101B-9397-08002B2CF9AE}" pid="14" name="_2015_ms_pID_7253432">
    <vt:lpwstr>jQ==</vt:lpwstr>
  </property>
</Properties>
</file>